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Żarach 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644B63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F5C24"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Zielonogórski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Poznańska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rok 2023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3 263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2 699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2 421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3 541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711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1 150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744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1 256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332"/>
        <w:gridCol w:w="4840"/>
        <w:gridCol w:w="458"/>
        <w:gridCol w:w="1557"/>
        <w:gridCol w:w="1626"/>
      </w:tblGrid>
      <w:tr w:rsidR="00226D55" w:rsidRPr="00822904" w:rsidTr="00E9110A">
        <w:trPr>
          <w:cantSplit/>
          <w:trHeight w:val="720"/>
          <w:jc w:val="center"/>
        </w:trPr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:rsidTr="00226D55">
        <w:trPr>
          <w:cantSplit/>
          <w:trHeight w:val="106"/>
          <w:jc w:val="center"/>
        </w:trPr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84"/>
          <w:jc w:val="center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226D55" w:rsidRPr="00822904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591"/>
        <w:gridCol w:w="209"/>
        <w:gridCol w:w="5395"/>
        <w:gridCol w:w="411"/>
        <w:gridCol w:w="997"/>
        <w:gridCol w:w="1150"/>
        <w:gridCol w:w="1157"/>
        <w:gridCol w:w="705"/>
      </w:tblGrid>
      <w:tr w:rsidR="004055A3" w:rsidRPr="008A0E29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val="38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491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572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615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66"/>
        <w:gridCol w:w="197"/>
        <w:gridCol w:w="89"/>
        <w:gridCol w:w="1986"/>
        <w:gridCol w:w="1230"/>
        <w:gridCol w:w="379"/>
        <w:gridCol w:w="1313"/>
        <w:gridCol w:w="1228"/>
        <w:gridCol w:w="1362"/>
        <w:gridCol w:w="1187"/>
      </w:tblGrid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7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E1DD5" w:rsidRPr="00DE1DD5" w:rsidTr="00B70924">
        <w:trPr>
          <w:cantSplit/>
          <w:trHeight w:hRule="exact" w:val="284"/>
          <w:jc w:val="center"/>
        </w:trPr>
        <w:tc>
          <w:tcPr>
            <w:tcW w:w="2626" w:type="pct"/>
            <w:gridSpan w:val="7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E1DD5" w:rsidRPr="00DE1DD5" w:rsidTr="00B70924">
        <w:trPr>
          <w:cantSplit/>
          <w:trHeight w:hRule="exact" w:val="170"/>
          <w:jc w:val="center"/>
        </w:trPr>
        <w:tc>
          <w:tcPr>
            <w:tcW w:w="2626" w:type="pct"/>
            <w:gridSpan w:val="7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E1DD5" w:rsidRPr="00DE1DD5" w:rsidTr="00DE1DD5">
        <w:trPr>
          <w:cantSplit/>
          <w:trHeight w:hRule="exact" w:val="237"/>
          <w:jc w:val="center"/>
        </w:trPr>
        <w:tc>
          <w:tcPr>
            <w:tcW w:w="2451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E1DD5">
              <w:rPr>
                <w:rFonts w:ascii="Arial" w:hAnsi="Arial" w:cs="Arial"/>
                <w:bCs/>
                <w:sz w:val="16"/>
                <w:szCs w:val="16"/>
              </w:rPr>
              <w:t>(w.01&lt;= w. 03 do 05)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2451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val="412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78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79" w:firstLine="21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kontrolowana praca na cele społeczne i potrącenie    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E1DD5">
              <w:rPr>
                <w:rFonts w:ascii="Arial" w:hAnsi="Arial" w:cs="Arial"/>
                <w:sz w:val="16"/>
                <w:szCs w:val="16"/>
              </w:rPr>
              <w:br/>
              <w:t xml:space="preserve">(razem w.06 = w.07 do 15+17+18)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58B" w:rsidRPr="00DE1DD5" w:rsidTr="00DE1DD5">
        <w:trPr>
          <w:cantSplit/>
          <w:trHeight w:hRule="exact" w:val="657"/>
          <w:jc w:val="center"/>
        </w:trPr>
        <w:tc>
          <w:tcPr>
            <w:tcW w:w="458" w:type="pct"/>
            <w:vMerge/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8058B" w:rsidRPr="00A8058B" w:rsidRDefault="00A8058B" w:rsidP="00A8058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8058B" w:rsidRPr="00DE1DD5" w:rsidRDefault="00A8058B" w:rsidP="00A80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7414FA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7414FA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4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70924" w:rsidRPr="007414FA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3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19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3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E1DD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DE1DD5">
              <w:rPr>
                <w:sz w:val="16"/>
                <w:szCs w:val="16"/>
              </w:rPr>
              <w:t>w.19 = w.20 + w. 24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491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Liczba wykonywanych razem (w.20&lt;= w.21 do 23)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0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37"/>
          <w:jc w:val="center"/>
        </w:trPr>
        <w:tc>
          <w:tcPr>
            <w:tcW w:w="2451" w:type="pct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Liczba niewykonywanych razem (w.24 &lt;= w.25 do 31)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51"/>
          <w:jc w:val="center"/>
        </w:trPr>
        <w:tc>
          <w:tcPr>
            <w:tcW w:w="458" w:type="pct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2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9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80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bottom"/>
          </w:tcPr>
          <w:p w:rsidR="00DE1DD5" w:rsidRPr="00DE1DD5" w:rsidRDefault="00DE1DD5" w:rsidP="00DE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 nie wymienionego wyżej (razem w.31 = w.32 do 38)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506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6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0924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B70924" w:rsidRPr="008A0E29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7D354B" w:rsidRDefault="007D354B"/>
    <w:p w:rsidR="005F3455" w:rsidRDefault="005F345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7"/>
        <w:gridCol w:w="360"/>
        <w:gridCol w:w="1411"/>
        <w:gridCol w:w="1338"/>
        <w:gridCol w:w="1469"/>
        <w:gridCol w:w="1333"/>
      </w:tblGrid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5F3455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5F3455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E11AE4" w:rsidRPr="008A0E29" w:rsidTr="005F3455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E11AE4" w:rsidRPr="008A0E29" w:rsidTr="005F3455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7414FA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0473A7" w:rsidRPr="007A4D50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7414FA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7414FA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</w:tr>
      <w:tr w:rsidR="000473A7" w:rsidRPr="008A0E29" w:rsidTr="005F3455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65"/>
        </w:trPr>
        <w:tc>
          <w:tcPr>
            <w:tcW w:w="331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50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603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04"/>
        </w:trPr>
        <w:tc>
          <w:tcPr>
            <w:tcW w:w="331" w:type="pct"/>
            <w:vMerge/>
            <w:vAlign w:val="bottom"/>
          </w:tcPr>
          <w:p w:rsidR="005F3455" w:rsidRPr="008A0E29" w:rsidRDefault="005F3455" w:rsidP="005F3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28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40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val="589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748D2" w:rsidRPr="008A0E29" w:rsidRDefault="00B748D2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  <w:r w:rsidR="005D53C2">
        <w:rPr>
          <w:rFonts w:ascii="Arial" w:hAnsi="Arial" w:cs="Arial"/>
          <w:b/>
          <w:bCs/>
          <w:sz w:val="20"/>
          <w:szCs w:val="20"/>
        </w:rPr>
        <w:t xml:space="preserve"> </w:t>
      </w:r>
      <w:r w:rsidR="005D53C2" w:rsidRPr="005D53C2">
        <w:rPr>
          <w:rFonts w:ascii="Arial" w:hAnsi="Arial" w:cs="Arial"/>
          <w:b/>
          <w:bCs/>
          <w:sz w:val="20"/>
          <w:szCs w:val="20"/>
        </w:rPr>
        <w:t>i 14b § 1 kkw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273DE5" w:rsidRPr="008A0E29" w:rsidTr="005D53C2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53C2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5D53C2" w:rsidRPr="005D53C2" w:rsidRDefault="005D53C2" w:rsidP="005D53C2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5D53C2">
              <w:rPr>
                <w:rFonts w:ascii="Arial" w:hAnsi="Arial" w:cs="Arial"/>
                <w:sz w:val="16"/>
                <w:szCs w:val="16"/>
              </w:rPr>
              <w:t>Art. 14 b § 1 kkw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53C2" w:rsidRPr="008A0E29" w:rsidRDefault="005D53C2" w:rsidP="005D53C2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D53C2" w:rsidRPr="008A0E29" w:rsidRDefault="005D53C2" w:rsidP="005D53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D53C2" w:rsidRPr="008A0E29" w:rsidRDefault="005D53C2" w:rsidP="005D53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F3455" w:rsidRDefault="005F345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331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331</w:t>
            </w:r>
          </w:p>
        </w:tc>
      </w:tr>
      <w:tr w:rsidR="00084957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448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276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441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A7A5E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677"/>
        <w:gridCol w:w="671"/>
        <w:gridCol w:w="3527"/>
        <w:gridCol w:w="538"/>
        <w:gridCol w:w="1318"/>
        <w:gridCol w:w="1342"/>
        <w:gridCol w:w="1314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3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16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982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521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4375"/>
        <w:gridCol w:w="457"/>
        <w:gridCol w:w="1555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3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3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</w:tr>
      <w:tr w:rsidR="00136C69" w:rsidRPr="008A0E29" w:rsidTr="00E83D72">
        <w:trPr>
          <w:cantSplit/>
          <w:trHeight w:val="287"/>
        </w:trPr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lastRenderedPageBreak/>
        <w:t>Dział 12.a.</w:t>
      </w:r>
      <w:r w:rsidRPr="00E83D72">
        <w:rPr>
          <w:rFonts w:ascii="Arial" w:hAnsi="Arial" w:cs="Arial"/>
          <w:sz w:val="22"/>
          <w:szCs w:val="22"/>
        </w:rPr>
        <w:t xml:space="preserve"> </w:t>
      </w:r>
      <w:r w:rsidRPr="00E83D72">
        <w:rPr>
          <w:rFonts w:ascii="Arial" w:hAnsi="Arial" w:cs="Arial"/>
          <w:b/>
          <w:bCs/>
          <w:sz w:val="22"/>
          <w:szCs w:val="22"/>
        </w:rPr>
        <w:t>Św</w:t>
      </w:r>
      <w:r w:rsidRPr="00E83D72">
        <w:rPr>
          <w:rFonts w:ascii="Arial" w:hAnsi="Arial" w:cs="Arial"/>
          <w:b/>
          <w:sz w:val="22"/>
          <w:szCs w:val="22"/>
        </w:rPr>
        <w:t>iadczenie pieniężne (Art. 43a § 1 i 2 kk) na rzecz Funduszu Pomocy Pokrzywdzonym oraz Pomocy Postpenitencjarnej - Funduszu Sprawiedliwości</w:t>
      </w:r>
    </w:p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83D72" w:rsidRPr="00E83D72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1 709 472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625 966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137 483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422 996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2 119 682</w:t>
            </w:r>
          </w:p>
        </w:tc>
      </w:tr>
    </w:tbl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t>Dział 12.b. Nawiązka (Art. 47 § 1 kk, 57a § 2 kk) na rzecz Funduszu Pomocy Pokrzywdzonym oraz Pomocy Postpenitencjarnej - Funduszu Sprawiedliwości</w:t>
      </w: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93294" w:rsidRPr="00E83D72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83D72" w:rsidRDefault="00E83D72" w:rsidP="00E83D72">
      <w:pPr>
        <w:tabs>
          <w:tab w:val="left" w:pos="360"/>
        </w:tabs>
        <w:rPr>
          <w:b/>
          <w:bCs/>
        </w:rPr>
      </w:pPr>
    </w:p>
    <w:p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E05C71" w:rsidP="00BC4FE4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-295910</wp:posOffset>
                </wp:positionV>
                <wp:extent cx="4686300" cy="1753870"/>
                <wp:effectExtent l="0" t="635" r="317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E83D72" w:rsidRPr="004102F7" w:rsidRDefault="00E83D72" w:rsidP="00E83D7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E83D72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4.9pt;margin-top:-23.3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4O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" filled="f" stroked="f">
                <v:textbox>
                  <w:txbxContent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E83D72" w:rsidRPr="004102F7" w:rsidRDefault="00E83D72" w:rsidP="00E83D7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0B589E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E83D72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83D72" w:rsidRPr="000B589E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lastRenderedPageBreak/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CA0293" w:rsidRPr="007A4D50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4.1.</w:t>
      </w:r>
    </w:p>
    <w:p w:rsidR="007A4D50" w:rsidRPr="007A4D50" w:rsidRDefault="007A4D50" w:rsidP="007A4D50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7A4D50">
        <w:rPr>
          <w:rFonts w:ascii="Arial" w:hAnsi="Arial" w:cs="Arial"/>
          <w:sz w:val="20"/>
          <w:szCs w:val="20"/>
        </w:rPr>
        <w:t>w wierszach 24-30 wykazać należy tylko te orzeczenia, w których postanowienia o odroczeniu, przerwie lub zawieszeniu wykonania kary są wykonalne w ostatnim dniu okresu sprawozdawczego;</w:t>
      </w: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dziale tym nie wykazuje się osób: którym udzielono przerwy w wykonaniu kary pozbawienia wolności, odroczono wykonanie kary pozbawienia wolności, które odbywają już karę pozbawienia wolności w innej sprawie, którym </w:t>
      </w:r>
      <w:r w:rsidRPr="00315BF5">
        <w:rPr>
          <w:rFonts w:ascii="Arial" w:hAnsi="Arial" w:cs="Arial"/>
          <w:sz w:val="20"/>
          <w:szCs w:val="20"/>
        </w:rPr>
        <w:lastRenderedPageBreak/>
        <w:t>udzielono zezwolenia na odbywanie kary pozbawienia wolności w systemie dozoru elektronicznego, oraz którym nie upłynął termin stawiennictwa w zakładzie karnym celem odbycia kary,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6.2.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lastRenderedPageBreak/>
        <w:t>Dział 7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79" w:rsidRDefault="00CC5479" w:rsidP="00F73414">
      <w:r>
        <w:separator/>
      </w:r>
    </w:p>
  </w:endnote>
  <w:endnote w:type="continuationSeparator" w:id="0">
    <w:p w:rsidR="00CC5479" w:rsidRDefault="00CC5479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5" w:rsidRDefault="005F34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1F7586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1F7586" w:rsidRPr="003852EC">
      <w:rPr>
        <w:b/>
        <w:bCs/>
        <w:sz w:val="16"/>
        <w:szCs w:val="16"/>
      </w:rPr>
      <w:fldChar w:fldCharType="separate"/>
    </w:r>
    <w:r w:rsidR="00E05C71">
      <w:rPr>
        <w:b/>
        <w:bCs/>
        <w:noProof/>
        <w:sz w:val="16"/>
        <w:szCs w:val="16"/>
      </w:rPr>
      <w:t>1</w:t>
    </w:r>
    <w:r w:rsidR="001F7586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1F7586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1F7586" w:rsidRPr="003852EC">
      <w:rPr>
        <w:b/>
        <w:bCs/>
        <w:sz w:val="16"/>
        <w:szCs w:val="16"/>
      </w:rPr>
      <w:fldChar w:fldCharType="separate"/>
    </w:r>
    <w:r w:rsidR="00E05C71">
      <w:rPr>
        <w:b/>
        <w:bCs/>
        <w:noProof/>
        <w:sz w:val="16"/>
        <w:szCs w:val="16"/>
      </w:rPr>
      <w:t>17</w:t>
    </w:r>
    <w:r w:rsidR="001F7586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79" w:rsidRDefault="00CC5479" w:rsidP="00F73414">
      <w:r>
        <w:separator/>
      </w:r>
    </w:p>
  </w:footnote>
  <w:footnote w:type="continuationSeparator" w:id="0">
    <w:p w:rsidR="00CC5479" w:rsidRDefault="00CC5479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5" w:rsidRDefault="005F34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14.03.2024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384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93F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586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380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62A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53C2"/>
    <w:rsid w:val="005D75A9"/>
    <w:rsid w:val="005E1F78"/>
    <w:rsid w:val="005E3CDD"/>
    <w:rsid w:val="005F219C"/>
    <w:rsid w:val="005F297D"/>
    <w:rsid w:val="005F3455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4B63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2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4FA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4D50"/>
    <w:rsid w:val="007A53BB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2652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52CA"/>
    <w:rsid w:val="00857E8D"/>
    <w:rsid w:val="00863D7B"/>
    <w:rsid w:val="008664F0"/>
    <w:rsid w:val="00871667"/>
    <w:rsid w:val="00872977"/>
    <w:rsid w:val="008747B5"/>
    <w:rsid w:val="00874FC7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C72C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4FD0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058B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0924"/>
    <w:rsid w:val="00B723A1"/>
    <w:rsid w:val="00B748D2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5479"/>
    <w:rsid w:val="00CC6809"/>
    <w:rsid w:val="00CC718A"/>
    <w:rsid w:val="00CD03CB"/>
    <w:rsid w:val="00CD101B"/>
    <w:rsid w:val="00CD11F4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0FC0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1DD5"/>
    <w:rsid w:val="00DE33F8"/>
    <w:rsid w:val="00DE3E71"/>
    <w:rsid w:val="00DE5BA8"/>
    <w:rsid w:val="00DE6B04"/>
    <w:rsid w:val="00DE7357"/>
    <w:rsid w:val="00DF11EA"/>
    <w:rsid w:val="00DF3948"/>
    <w:rsid w:val="00DF4C53"/>
    <w:rsid w:val="00DF5292"/>
    <w:rsid w:val="00DF572F"/>
    <w:rsid w:val="00E02FBC"/>
    <w:rsid w:val="00E05C71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3D72"/>
    <w:rsid w:val="00E85ADA"/>
    <w:rsid w:val="00E9110A"/>
    <w:rsid w:val="00E9147D"/>
    <w:rsid w:val="00E91739"/>
    <w:rsid w:val="00E91D67"/>
    <w:rsid w:val="00E93294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520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5466"/>
    <w:rsid w:val="00FA6B2A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4DDC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attachedSchema w:val="http://schemas.microsoft.com/office/drawing/2016/ink"/>
  <w:attachedSchema w:val="http://schemas.microsoft.com/office/drawing/2017/model3d"/>
  <w:attachedSchema w:val="http://schemas.microsoft.com/office/2019/extlst"/>
  <w:attachedSchema w:val="http://schemas.microsoft.com/office/word/2023/wordml/word16du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57321-419D-4988-ABBC-CB32C602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7206</Words>
  <Characters>43242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Wolak Izabela</cp:lastModifiedBy>
  <cp:revision>2</cp:revision>
  <cp:lastPrinted>2015-04-16T13:54:00Z</cp:lastPrinted>
  <dcterms:created xsi:type="dcterms:W3CDTF">2024-03-14T09:14:00Z</dcterms:created>
  <dcterms:modified xsi:type="dcterms:W3CDTF">2024-03-14T09:14:00Z</dcterms:modified>
</cp:coreProperties>
</file>